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New Year in Antarctica</w:t>
      </w:r>
    </w:p>
    <w:p>
      <w:pPr>
        <w:jc w:val="center"/>
      </w:pPr>
      <w:r>
        <w:rPr>
          <w:rFonts w:ascii="Arial" w:hAnsi="Arial" w:eastAsia="Arial" w:cs="Arial"/>
          <w:sz w:val="26"/>
          <w:szCs w:val="26"/>
          <w:b/>
        </w:rPr>
        <w:t xml:space="preserve">27 Dec - 07 Jan 2026</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(Dec 27):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(Dec 28):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luxury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(Dec 29-30):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(Dec 31-Jan 4): South Shetland Islands and Antarctic Peninsula</w:t>
            </w:r>
          </w:p>
          <w:p>
            <w:pPr/>
            <w:r>
              <w:rPr/>
              <w:t xml:space="preserve">	 Within the next days, we continue our in-depth exploration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 some with gift shops and post offices.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plan to pass through the famous Lemaire Channel, also known as “Kodak Gap” because of the photogenic way the narrow channel reflects the image of sheer snowy mountains.</w:t>
            </w:r>
          </w:p>
          <w:p>
            <w:pPr/>
            <w:r>
              <w:rPr/>
              <w:t xml:space="preserve">	 Throughout the islands and on the mainland, we find nesting colonies of gentoo, chinstrap and Adélie penguins, sometimes side by side. At this time, penguin eggs are starting to hatch, causing parents to rush to the sea and back to gather krill for their hungry chicks. Predatory skuas are quick to capitalize on this new food source. As sea ice continues to recede, humpback whales arrive in great numbers and begin non-stop feeding. Killer whales are also on the hunt for seals and minke whales. Groups of crabeater seals occupy the last of the ice floes while Weddell seals haul out on land. Solitary leopard seals can be spotted patrolling the coast near penguin colonies.</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With long daylight hours and the summer’s warmest temperatures, camping is also a great way to make the most of your time on the White Continent.</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With over 21 hours of daylight per day, we seize every opportunity to experience excellent wildlife viewing and amazing scenery on shore excursions and Zodiac cruises.</w:t>
            </w:r>
          </w:p>
          <w:p>
            <w:pPr/>
            <w:r>
              <w:rPr/>
              <w:t xml:space="preserve">	 New Year's Day falls during our Antarctic Peninsula adventure. We will celebrate it with special meals and holiday festivities in the various traditions of our multinational passengers. We encourage you to dress in elegant attire for an evening of music, dancing and champagne. New Year’s Eve in Antarctica will be a night to remember!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(Jan 5-6):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(Jan 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$350</w:t>
            </w:r>
            <w:r>
              <w:rPr>
                <w:b/>
              </w:rPr>
              <w:t xml:space="preserve"> - €300 - A$530 - £285</w:t>
            </w:r>
          </w:p>
          <w:p>
            <w:pP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$895</w:t>
            </w:r>
            <w:r>
              <w:rPr/>
              <w:t xml:space="preserve"> - €785</w:t>
            </w:r>
            <w:r>
              <w:rPr/>
              <w:t xml:space="preserve"> - A$1350 - £730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Pr/>
      <w:r>
        <w:rPr>
          <w:rFonts w:ascii="Arial" w:hAnsi="Arial" w:eastAsia="Arial" w:cs="Arial"/>
          <w:sz w:val="32"/>
          <w:szCs w:val="32"/>
          <w:b/>
        </w:rPr>
        <w:t xml:space="preserve">Rates</w:t>
      </w:r>
    </w:p>
    <w:tbl>
      <w:tblGrid>
        <w:gridCol w:w="1500" w:type="dxa"/>
        <w:gridCol w:w="1500" w:type="dxa"/>
        <w:gridCol w:w="1500" w:type="dxa"/>
        <w:gridCol w:w="1500" w:type="dxa"/>
        <w:gridCol w:w="1500" w:type="dxa"/>
        <w:gridCol w:w="1500" w:type="dxa"/>
        <w:gridCol w:w="1500" w:type="dxa"/>
        <w:gridCol w:w="1500" w:type="dxa"/>
      </w:tblGrid>
      <w:tblPr>
        <w:tblStyle w:val="Rates Table"/>
      </w:tblPr>
      <w:tr>
        <w:trPr/>
        <w:tc>
          <w:tcPr>
            <w:tcW w:w="1500" w:type="dxa"/>
          </w:tcPr>
          <w:p>
            <w:pPr/>
            <w:r>
              <w:rPr>
                <w:b/>
              </w:rPr>
              <w:t xml:space="preserve">Triple Suite</w:t>
            </w:r>
          </w:p>
        </w:tc>
        <w:tc>
          <w:tcPr>
            <w:tcW w:w="1500" w:type="dxa"/>
          </w:tcPr>
          <w:p>
            <w:pPr/>
            <w:r>
              <w:rPr>
                <w:b/>
              </w:rPr>
              <w:t xml:space="preserve">Main Deck Suite</w:t>
            </w:r>
          </w:p>
        </w:tc>
        <w:tc>
          <w:tcPr>
            <w:tcW w:w="1500" w:type="dxa"/>
          </w:tcPr>
          <w:p>
            <w:pPr/>
            <w:r>
              <w:rPr>
                <w:b/>
              </w:rPr>
              <w:t xml:space="preserve">Single Suite</w:t>
            </w:r>
          </w:p>
        </w:tc>
        <w:tc>
          <w:tcPr>
            <w:tcW w:w="1500" w:type="dxa"/>
          </w:tcPr>
          <w:p>
            <w:pPr/>
            <w:r>
              <w:rPr>
                <w:b/>
              </w:rPr>
              <w:t xml:space="preserve">Classic Suite</w:t>
            </w:r>
          </w:p>
        </w:tc>
        <w:tc>
          <w:tcPr>
            <w:tcW w:w="1500" w:type="dxa"/>
          </w:tcPr>
          <w:p>
            <w:pPr/>
            <w:r>
              <w:rPr>
                <w:b/>
              </w:rPr>
              <w:t xml:space="preserve">Superior Suite</w:t>
            </w:r>
          </w:p>
        </w:tc>
        <w:tc>
          <w:tcPr>
            <w:tcW w:w="1500" w:type="dxa"/>
          </w:tcPr>
          <w:p>
            <w:pPr/>
            <w:r>
              <w:rPr>
                <w:b/>
              </w:rPr>
              <w:t xml:space="preserve">Deluxe Suite</w:t>
            </w:r>
          </w:p>
        </w:tc>
        <w:tc>
          <w:tcPr>
            <w:tcW w:w="1500" w:type="dxa"/>
          </w:tcPr>
          <w:p>
            <w:pPr/>
            <w:r>
              <w:rPr>
                <w:b/>
              </w:rPr>
              <w:t xml:space="preserve">Premium Suite</w:t>
            </w:r>
          </w:p>
        </w:tc>
        <w:tc>
          <w:tcPr>
            <w:tcW w:w="1500" w:type="dxa"/>
          </w:tcPr>
          <w:p>
            <w:pPr/>
            <w:r>
              <w:rPr>
                <w:b/>
              </w:rPr>
              <w:t xml:space="preserve">Owners Suite</w:t>
            </w:r>
          </w:p>
        </w:tc>
      </w:tr>
      <w:tr>
        <w:trPr/>
        <w:tc>
          <w:tcPr>
            <w:tcW w:w="1500" w:type="dxa"/>
          </w:tcPr>
          <w:p>
            <w:pPr>
              <w:spacing w:before="50" w:after="50"/>
            </w:pPr>
            <w:r>
              <w:rPr>
                <w:strike/>
              </w:rPr>
              <w:t xml:space="preserve">US$ 10 895</w:t>
            </w:r>
          </w:p>
        </w:tc>
        <w:tc>
          <w:tcPr>
            <w:tcW w:w="1500" w:type="dxa"/>
          </w:tcPr>
          <w:p>
            <w:pPr>
              <w:spacing w:before="50" w:after="50"/>
            </w:pPr>
            <w:r>
              <w:rPr>
                <w:strike/>
              </w:rPr>
              <w:t xml:space="preserve">US$ 14 495</w:t>
            </w:r>
          </w:p>
        </w:tc>
        <w:tc>
          <w:tcPr>
            <w:tcW w:w="1500" w:type="dxa"/>
          </w:tcPr>
          <w:p>
            <w:pPr>
              <w:spacing w:before="50" w:after="50"/>
            </w:pPr>
            <w:r>
              <w:rPr>
                <w:strike/>
              </w:rPr>
              <w:t xml:space="preserve">US$ 21 795</w:t>
            </w:r>
          </w:p>
        </w:tc>
        <w:tc>
          <w:tcPr>
            <w:tcW w:w="1500" w:type="dxa"/>
          </w:tcPr>
          <w:p>
            <w:pPr>
              <w:spacing w:before="50" w:after="50"/>
            </w:pPr>
            <w:r>
              <w:rPr>
                <w:strike/>
              </w:rPr>
              <w:t xml:space="preserve">US$ 15 595</w:t>
            </w:r>
          </w:p>
        </w:tc>
        <w:tc>
          <w:tcPr>
            <w:tcW w:w="1500" w:type="dxa"/>
          </w:tcPr>
          <w:p>
            <w:pPr>
              <w:spacing w:before="50" w:after="50"/>
            </w:pPr>
            <w:r>
              <w:rPr>
                <w:strike/>
              </w:rPr>
              <w:t xml:space="preserve">US$ 15 795</w:t>
            </w:r>
          </w:p>
        </w:tc>
        <w:tc>
          <w:tcPr>
            <w:tcW w:w="1500" w:type="dxa"/>
          </w:tcPr>
          <w:p>
            <w:pPr>
              <w:spacing w:before="50" w:after="50"/>
            </w:pPr>
            <w:r>
              <w:rPr>
                <w:strike/>
              </w:rPr>
              <w:t xml:space="preserve">US$ 17 595</w:t>
            </w:r>
          </w:p>
        </w:tc>
        <w:tc>
          <w:tcPr>
            <w:tcW w:w="1500" w:type="dxa"/>
          </w:tcPr>
          <w:p>
            <w:pPr>
              <w:spacing w:before="50" w:after="50"/>
            </w:pPr>
            <w:r>
              <w:rPr>
                <w:strike/>
              </w:rPr>
              <w:t xml:space="preserve">US$ 18 995</w:t>
            </w:r>
          </w:p>
        </w:tc>
        <w:tc>
          <w:tcPr>
            <w:tcW w:w="1500" w:type="dxa"/>
          </w:tcPr>
          <w:p>
            <w:pPr>
              <w:spacing w:before="50" w:after="50"/>
            </w:pPr>
            <w:r>
              <w:rPr>
                <w:strike/>
              </w:rPr>
              <w:t xml:space="preserve">US$ 23 995</w:t>
            </w:r>
          </w:p>
        </w:tc>
      </w:tr>
      <w:tr>
        <w:trPr/>
        <w:tc>
          <w:tcPr>
            <w:tcW w:w="1500" w:type="dxa"/>
          </w:tcPr>
          <w:p>
            <w:pPr>
              <w:spacing w:before="50" w:after="50"/>
            </w:pPr>
            <w:r>
              <w:rPr/>
              <w:t xml:space="preserve">US$ 9 261</w:t>
            </w:r>
          </w:p>
        </w:tc>
        <w:tc>
          <w:tcPr>
            <w:tcW w:w="1500" w:type="dxa"/>
          </w:tcPr>
          <w:p>
            <w:pPr>
              <w:spacing w:before="50" w:after="50"/>
            </w:pPr>
            <w:r>
              <w:rPr/>
              <w:t xml:space="preserve">US$ 12 321</w:t>
            </w:r>
          </w:p>
        </w:tc>
        <w:tc>
          <w:tcPr>
            <w:tcW w:w="1500" w:type="dxa"/>
          </w:tcPr>
          <w:p>
            <w:pPr>
              <w:spacing w:before="50" w:after="50"/>
            </w:pPr>
            <w:r>
              <w:rPr/>
              <w:t xml:space="preserve">US$ 18 526</w:t>
            </w:r>
          </w:p>
        </w:tc>
        <w:tc>
          <w:tcPr>
            <w:tcW w:w="1500" w:type="dxa"/>
          </w:tcPr>
          <w:p>
            <w:pPr>
              <w:spacing w:before="50" w:after="50"/>
            </w:pPr>
            <w:r>
              <w:rPr/>
              <w:t xml:space="preserve">US$ 13 256</w:t>
            </w:r>
          </w:p>
        </w:tc>
        <w:tc>
          <w:tcPr>
            <w:tcW w:w="1500" w:type="dxa"/>
          </w:tcPr>
          <w:p>
            <w:pPr>
              <w:spacing w:before="50" w:after="50"/>
            </w:pPr>
            <w:r>
              <w:rPr/>
              <w:t xml:space="preserve">US$ 12 636</w:t>
            </w:r>
          </w:p>
        </w:tc>
        <w:tc>
          <w:tcPr>
            <w:tcW w:w="1500" w:type="dxa"/>
          </w:tcPr>
          <w:p>
            <w:pPr>
              <w:spacing w:before="50" w:after="50"/>
            </w:pPr>
            <w:r>
              <w:rPr/>
              <w:t xml:space="preserve">US$ 14 076</w:t>
            </w:r>
          </w:p>
        </w:tc>
        <w:tc>
          <w:tcPr>
            <w:tcW w:w="1500" w:type="dxa"/>
          </w:tcPr>
          <w:p>
            <w:pPr>
              <w:spacing w:before="50" w:after="50"/>
            </w:pPr>
            <w:r>
              <w:rPr/>
              <w:t xml:space="preserve">US$ 15 196</w:t>
            </w:r>
          </w:p>
        </w:tc>
        <w:tc>
          <w:tcPr>
            <w:tcW w:w="1500" w:type="dxa"/>
          </w:tcPr>
          <w:p>
            <w:pPr>
              <w:spacing w:before="50" w:after="50"/>
            </w:pPr>
            <w:r>
              <w:rPr/>
              <w:t xml:space="preserve">US$ 19 196</w:t>
            </w:r>
          </w:p>
        </w:tc>
      </w:tr>
    </w:tbl>
    <w:p>
      <w:pPr>
        <w:jc w:val="left"/>
      </w:pPr>
      <w:r>
        <w:rPr>
          <w:rFonts w:ascii="Arial" w:hAnsi="Arial" w:eastAsia="Arial" w:cs="Arial"/>
          <w:sz w:val="24"/>
          <w:szCs w:val="24"/>
        </w:rPr>
        <w:t xml:space="preserve">* Super Early Bird discount (15% off on Triple, Main Deck, Single, and Classic Suites; 20% off on Superior, Deluxe, Premium, and Owner’s Suites) is available for new bookings confirmed by June 30, 2024.</w:t>
      </w:r>
    </w:p>
    <w:p>
      <w:pPr>
        <w:jc w:val="left"/>
      </w:pPr>
      <w:r>
        <w:rPr>
          <w:rFonts w:ascii="Arial" w:hAnsi="Arial" w:eastAsia="Arial" w:cs="Arial"/>
          <w:sz w:val="24"/>
          <w:szCs w:val="24"/>
        </w:rPr>
        <w:t xml:space="preserve">Cruise rates are quoted per person. Sharing is available in Triple, Main Deck, Classic, and Superior Suites. If you prefer a cabin for yourself, the following categories are available with the single supplement: x1.7 for Main Deck, Classic, and Superior Suites; x2 for Deluxe, Premium, and Owner's Suite.</w:t>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 on Day 1 in Ushuaia;</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jp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2024-05-09T03:27:55+00:00</dcterms:created>
  <dcterms:modified xsi:type="dcterms:W3CDTF">2024-05-09T03:27:55+00:00</dcterms:modified>
</cp:coreProperties>
</file>

<file path=docProps/custom.xml><?xml version="1.0" encoding="utf-8"?>
<Properties xmlns="http://schemas.openxmlformats.org/officeDocument/2006/custom-properties" xmlns:vt="http://schemas.openxmlformats.org/officeDocument/2006/docPropsVTypes"/>
</file>